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163535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Kermit Area School (K-8)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054223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163535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163535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14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163535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26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163535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14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163535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53.8%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71.4%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163535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92.9%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163535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163535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7.1%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163535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163535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163535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163535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163535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163535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163535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163535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163535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92.9%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163535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21.4%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16353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  <w:tc>
          <w:tcPr>
            <w:tcW w:w="912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35.7%</w:t>
            </w:r>
          </w:p>
        </w:tc>
        <w:tc>
          <w:tcPr>
            <w:tcW w:w="912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64.3%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35.7%</w:t>
            </w:r>
          </w:p>
        </w:tc>
        <w:tc>
          <w:tcPr>
            <w:tcW w:w="912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  <w:tc>
          <w:tcPr>
            <w:tcW w:w="912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  <w:tc>
          <w:tcPr>
            <w:tcW w:w="912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  <w:tc>
          <w:tcPr>
            <w:tcW w:w="912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16353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16353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85.7%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16353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16353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16353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16353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16353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16353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16353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16353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100.0%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163535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16353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16353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92.9%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16353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16353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16353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16353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16353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16353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16353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16353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16353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7.1%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7.1%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163535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440" w:type="dxa"/>
          </w:tcPr>
          <w:p w:rsidR="009B797D" w:rsidRPr="00797E2A" w:rsidRDefault="00163535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21.4%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16353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40" w:type="dxa"/>
          </w:tcPr>
          <w:p w:rsidR="008B42CE" w:rsidRPr="00797E2A" w:rsidRDefault="0016353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14.3%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16353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440" w:type="dxa"/>
          </w:tcPr>
          <w:p w:rsidR="008B42CE" w:rsidRPr="00797E2A" w:rsidRDefault="0016353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21.4%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440" w:type="dxa"/>
          </w:tcPr>
          <w:p w:rsidR="00ED0933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35.7%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35.7%</w:t>
            </w:r>
          </w:p>
        </w:tc>
        <w:tc>
          <w:tcPr>
            <w:tcW w:w="889" w:type="pct"/>
          </w:tcPr>
          <w:p w:rsidR="004206F3" w:rsidRPr="000B28B6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64.3%</w:t>
            </w:r>
          </w:p>
        </w:tc>
        <w:tc>
          <w:tcPr>
            <w:tcW w:w="1011" w:type="pct"/>
          </w:tcPr>
          <w:p w:rsidR="004206F3" w:rsidRPr="000B28B6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28.6%</w:t>
            </w:r>
          </w:p>
        </w:tc>
        <w:tc>
          <w:tcPr>
            <w:tcW w:w="889" w:type="pct"/>
          </w:tcPr>
          <w:p w:rsidR="004206F3" w:rsidRPr="000B28B6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71.4%</w:t>
            </w:r>
          </w:p>
        </w:tc>
        <w:tc>
          <w:tcPr>
            <w:tcW w:w="1011" w:type="pct"/>
          </w:tcPr>
          <w:p w:rsidR="004206F3" w:rsidRPr="000B28B6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57.1%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42.9%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21.4%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35.7%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42.9%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6353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0.0%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21.4%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370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42.9%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370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14.3%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370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14.3%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370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7.1%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370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370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64.3%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6353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28.6%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28.6%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28.6%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21.4%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21.4%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21.4%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28.6%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7.1%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21.4%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6353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7.1%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7.1%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21.4%</w:t>
            </w:r>
          </w:p>
        </w:tc>
        <w:tc>
          <w:tcPr>
            <w:tcW w:w="99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35.7%</w:t>
            </w:r>
          </w:p>
        </w:tc>
        <w:tc>
          <w:tcPr>
            <w:tcW w:w="1170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435" w:type="dxa"/>
            <w:noWrap/>
          </w:tcPr>
          <w:p w:rsidR="00364F87" w:rsidRPr="00797E2A" w:rsidRDefault="0016353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0.0%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85.7%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78.6%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64.3%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64.3%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92.9%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57.1%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57.1%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57.1%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21.4%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16353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535" w:rsidRDefault="00163535" w:rsidP="0035328A">
      <w:pPr>
        <w:spacing w:after="0" w:line="240" w:lineRule="auto"/>
      </w:pPr>
      <w:r>
        <w:separator/>
      </w:r>
    </w:p>
  </w:endnote>
  <w:endnote w:type="continuationSeparator" w:id="0">
    <w:p w:rsidR="00163535" w:rsidRDefault="00163535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163535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535" w:rsidRDefault="00163535" w:rsidP="0035328A">
      <w:pPr>
        <w:spacing w:after="0" w:line="240" w:lineRule="auto"/>
      </w:pPr>
      <w:r>
        <w:separator/>
      </w:r>
    </w:p>
  </w:footnote>
  <w:footnote w:type="continuationSeparator" w:id="0">
    <w:p w:rsidR="00163535" w:rsidRDefault="00163535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35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63535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08EC9778-36AD-4BEF-86F5-D679E40AD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9316A-9AB7-44E8-A17B-0F36FA15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2016-04-26T20:02:00Z</dcterms:modified>
</cp:coreProperties>
</file>